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PENGARUH INQUIRY TERBIMBING TERHADAP AKTIVITAS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BELAJAR DAN HASIL BELAJAR KOGNITIF SISWA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KELAS XI IPA SMA NEGERI 1 SUKAMULIA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PADA MATA PELAJARAN BIOLOGI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TAHUN PELAJARAN 2014/2015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  <w:bookmarkStart w:id="0" w:name="_GoBack"/>
      <w:r>
        <w:rPr>
          <w:rFonts w:ascii="TimesNewRomanPSMT" w:hAnsi="TimesNewRomanPSMT" w:cs="TimesNewRomanPSMT"/>
          <w:color w:val="000000"/>
          <w:sz w:val="21"/>
          <w:szCs w:val="21"/>
        </w:rPr>
        <w:t>Ermila Mahariyanti</w:t>
      </w:r>
    </w:p>
    <w:bookmarkEnd w:id="0"/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Jurusan MIPA/Program Studi Pendidikan Biologi STKIP Hamzanwadi Selong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" w:hAnsi="TimesNewRomanPS-ItalicMT" w:cs="TimesNewRomanPS-ItalicMT"/>
          <w:i/>
          <w:iCs/>
          <w:color w:val="0000FF"/>
          <w:sz w:val="19"/>
          <w:szCs w:val="19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Email: </w:t>
      </w:r>
      <w:r>
        <w:rPr>
          <w:rFonts w:ascii="TimesNewRomanPS-ItalicMT" w:hAnsi="TimesNewRomanPS-ItalicMT" w:cs="TimesNewRomanPS-ItalicMT"/>
          <w:i/>
          <w:iCs/>
          <w:color w:val="0000FF"/>
          <w:sz w:val="19"/>
          <w:szCs w:val="19"/>
        </w:rPr>
        <w:t>ermilamahariyanti@gmail.com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Abstrak: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Penelitian ini bertujuan untuk mengetahui pengaruh inquiry terbimbing terhadap aktivitas belajar dan hasil belajar kognitif siswa kelas XI IPA SMA Negeri 1 Sukamulia pada mata pelajaran biologi tahun pelajaran 2014/2015. Jenis penelitian ini adalah penelitian eksperimen. Populasi penelitian ini adalah seluruh siswa kelas XI IPA di SMA Negeri 1 Sukamulia tahun Pelajaran 2014/2015. Sampel penelitian merupakan sampel total dan ditentukan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dengan teknik pengundian. Berdasarkan penarikan sampel tersebut, kelas XI IPA- sebagai kelas eksperimen, dan kelas XI IPA-2 sebagai kelas kontrol. Rancangan penelitian yang digunakan adalah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post-test only control design</w:t>
      </w:r>
      <w:r>
        <w:rPr>
          <w:rFonts w:ascii="TimesNewRomanPSMT" w:hAnsi="TimesNewRomanPSMT" w:cs="TimesNewRomanPSMT"/>
          <w:color w:val="000000"/>
          <w:sz w:val="23"/>
          <w:szCs w:val="23"/>
        </w:rPr>
        <w:t>. Teknik pengumpulan data menggunakan tes hasil belajar dan lembar observasi aktivitas belajar siswa. Data aktivitas belajar dianalisis menggunakan rumus skor rata-rata, hasil belajar menggunakan uji-t dan untuk aktivitas dan hasil belajar menggunakan rumus MANOVA. Hasil perhitungan aktivitas belajar menunjukkan bahwa skor rata-rata kelas eksperimen &gt; kelas kontrol (3,04 &gt; 2,85), perhitungan hasil belajar menunjukkan bahwa t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hitung </w:t>
      </w:r>
      <w:r>
        <w:rPr>
          <w:rFonts w:ascii="TimesNewRomanPSMT" w:hAnsi="TimesNewRomanPSMT" w:cs="TimesNewRomanPSMT"/>
          <w:color w:val="000000"/>
          <w:sz w:val="23"/>
          <w:szCs w:val="23"/>
        </w:rPr>
        <w:t>&gt; t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tabel </w:t>
      </w:r>
      <w:r>
        <w:rPr>
          <w:rFonts w:ascii="TimesNewRomanPSMT" w:hAnsi="TimesNewRomanPSMT" w:cs="TimesNewRomanPSMT"/>
          <w:color w:val="000000"/>
          <w:sz w:val="23"/>
          <w:szCs w:val="23"/>
        </w:rPr>
        <w:t>yaitu (1,57 &gt; 0,6801), dan untuk hasil perhitungan aktivitas dan hasil belajar menunjukkan bahwa F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hitung </w:t>
      </w:r>
      <w:r>
        <w:rPr>
          <w:rFonts w:ascii="TimesNewRomanPSMT" w:hAnsi="TimesNewRomanPSMT" w:cs="TimesNewRomanPSMT"/>
          <w:color w:val="000000"/>
          <w:sz w:val="23"/>
          <w:szCs w:val="23"/>
        </w:rPr>
        <w:t>&gt; F</w:t>
      </w:r>
      <w:r>
        <w:rPr>
          <w:rFonts w:ascii="TimesNewRomanPSMT" w:hAnsi="TimesNewRomanPSMT" w:cs="TimesNewRomanPSMT"/>
          <w:color w:val="000000"/>
          <w:sz w:val="15"/>
          <w:szCs w:val="15"/>
        </w:rPr>
        <w:t>tabel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 yaitu (6,142 &gt; 3,09) sehingga dapat disimpulkan: 1) ada pengaruh inquiry terbimbing terhadap aktivitas belajar siswa kelas XI IPA SMA Negeri 1 Sukamulia pada mata pelajaran biologi tahun pelajaran 2014/2015, 2) ada pengaruh inquiry terbimbing terhadap hasil belajar kognitif siswa kelas XI IPA SMA Negeri 1 Sukamulia pada mata pelajaran biologi tahun pelajaran 2014/2015, 3) ada pengaruh inquiry terbimbing terhadap aktivitas belajar dan hasil belajar kognitif siswa kelas XI IPA SMA Negeri 1 Sukamulia pada mata pelajaran biologi tahun pelajaran 2014/2015.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Kata Kunci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: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metode inquiry terbimbing, aktivitas belajar, hasil belajar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THE EFFECT OF GUIDANCE INQUIRY ON LEARNING ACTIVITY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AND COGNITIVE LEARNING ACHIEVEMENT FOR THE XI IPA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GRADE STUDENTS OF SMA NEGERI 1 SUKAMULIA ABOUT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BIOLOGY MATERIAL IN THE SCHOOL YEAR 2014/2015.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Ermila Mahariyanti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Biology Education Program. STKIP Hamzanwadi Selong.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" w:hAnsi="TimesNewRomanPS-ItalicMT" w:cs="TimesNewRomanPS-ItalicMT"/>
          <w:i/>
          <w:iCs/>
          <w:color w:val="0000FF"/>
          <w:sz w:val="19"/>
          <w:szCs w:val="19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Email: </w:t>
      </w:r>
      <w:r>
        <w:rPr>
          <w:rFonts w:ascii="TimesNewRomanPS-ItalicMT" w:hAnsi="TimesNewRomanPS-ItalicMT" w:cs="TimesNewRomanPS-ItalicMT"/>
          <w:i/>
          <w:iCs/>
          <w:color w:val="0000FF"/>
          <w:sz w:val="19"/>
          <w:szCs w:val="19"/>
        </w:rPr>
        <w:t>ermilamahariyanti@gmail.com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Abstract: </w:t>
      </w:r>
      <w:r>
        <w:rPr>
          <w:rFonts w:ascii="TimesNewRomanPSMT" w:hAnsi="TimesNewRomanPSMT" w:cs="TimesNewRomanPSMT"/>
          <w:color w:val="000000"/>
          <w:sz w:val="23"/>
          <w:szCs w:val="23"/>
        </w:rPr>
        <w:t>This research was aimed at knowing the effect of guidance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inquiry on learning activity and cognitive learning achievement for the XI IPA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grade students of SMA Negeri 1 Sukamulia about Biology material in the school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year 2014/2015. Th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is research was experiment. The </w:t>
      </w:r>
      <w:r>
        <w:rPr>
          <w:rFonts w:ascii="TimesNewRomanPSMT" w:hAnsi="TimesNewRomanPSMT" w:cs="TimesNewRomanPSMT"/>
          <w:color w:val="000000"/>
          <w:sz w:val="23"/>
          <w:szCs w:val="23"/>
        </w:rPr>
        <w:t>population of this research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was whole students class XI IPA at SMAN 1 Sukamulia in the school year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2014/2015. The sample of this research was total sample utilizing lottery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techniques. The </w:t>
      </w:r>
      <w:r>
        <w:rPr>
          <w:rFonts w:ascii="TimesNewRomanPSMT" w:hAnsi="TimesNewRomanPSMT" w:cs="TimesNewRomanPSMT"/>
          <w:color w:val="000000"/>
          <w:sz w:val="23"/>
          <w:szCs w:val="23"/>
        </w:rPr>
        <w:t>sample of this research was class XI IPA 1 as the experiment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class, and class XI IPA 2 as the control class. This research was post-test only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design. The data collection used was learning achievement test and students’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quistionn activity. The activity data was analyzed using mean score formula,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learning achievement was analyzed using t-test, activity and learning achievement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was analyzed using MANOVA formula. The learning activity showed that the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mean score of experiment &gt; control class (3.04&gt; 2.85), learning achievement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calculation showed that t</w:t>
      </w:r>
      <w:r>
        <w:rPr>
          <w:rFonts w:ascii="TimesNewRomanPSMT" w:hAnsi="TimesNewRomanPSMT" w:cs="TimesNewRomanPSMT"/>
          <w:color w:val="000000"/>
          <w:sz w:val="15"/>
          <w:szCs w:val="15"/>
        </w:rPr>
        <w:t>count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&gt; t 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table </w:t>
      </w:r>
      <w:r>
        <w:rPr>
          <w:rFonts w:ascii="TimesNewRomanPSMT" w:hAnsi="TimesNewRomanPSMT" w:cs="TimesNewRomanPSMT"/>
          <w:color w:val="000000"/>
          <w:sz w:val="23"/>
          <w:szCs w:val="23"/>
        </w:rPr>
        <w:t>(1.57&gt; 0.6801), and for activity calculation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and learning achievement showed that F 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count </w:t>
      </w:r>
      <w:r>
        <w:rPr>
          <w:rFonts w:ascii="TimesNewRomanPSMT" w:hAnsi="TimesNewRomanPSMT" w:cs="TimesNewRomanPSMT"/>
          <w:color w:val="000000"/>
          <w:sz w:val="23"/>
          <w:szCs w:val="23"/>
        </w:rPr>
        <w:t>&gt; F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table </w:t>
      </w:r>
      <w:r>
        <w:rPr>
          <w:rFonts w:ascii="TimesNewRomanPSMT" w:hAnsi="TimesNewRomanPSMT" w:cs="TimesNewRomanPSMT"/>
          <w:color w:val="000000"/>
          <w:sz w:val="23"/>
          <w:szCs w:val="23"/>
        </w:rPr>
        <w:t>(6.142&gt; 3.09). It can be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concluded: 1) there was effect effect of guidance inquiry on learning activity for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the XI IPA grade students of SMA Negeri 1 Sukamulia about Biology material in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the school year 2014/2015; 2) there was effect of guidance inquiry on students’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cognitive learning achievement for the XI IPA grade students of SMA Negeri 1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Sukamulia about Biology material in the school year 2014/2015; 3) There was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effect of guidance inquiry on learning activity and cognitive learning achievement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for the XI IPA grade students of SMA Negeri 1 Sukamulia about Biology material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in the school year 2014/2015.</w:t>
      </w:r>
    </w:p>
    <w:p w:rsidR="00A2063B" w:rsidRDefault="00A2063B" w:rsidP="00A2063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 xml:space="preserve">Keywords: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Guidance inquiry method, learning activity, learning achievement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2063B" w:rsidRDefault="00A2063B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2063B" w:rsidRDefault="00A2063B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2063B" w:rsidRDefault="00A2063B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2063B" w:rsidRDefault="00A2063B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2063B" w:rsidRDefault="00A2063B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2063B" w:rsidRDefault="00A2063B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2063B" w:rsidRDefault="00A2063B" w:rsidP="00A33E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PENDAHULUAN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Pendidikan merupakan sebuah program. Program melibatkan sejumlah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komponen yang bekerja </w:t>
      </w:r>
      <w:r>
        <w:rPr>
          <w:rFonts w:ascii="TimesNewRomanPSMT" w:hAnsi="TimesNewRomanPSMT" w:cs="TimesNewRomanPSMT"/>
          <w:color w:val="000000"/>
          <w:sz w:val="23"/>
          <w:szCs w:val="23"/>
        </w:rPr>
        <w:t>sama dalam sebuah proses untuk mencapai tujuan yang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diprogramkan. </w:t>
      </w:r>
      <w:r>
        <w:rPr>
          <w:rFonts w:ascii="TimesNewRomanPSMT" w:hAnsi="TimesNewRomanPSMT" w:cs="TimesNewRomanPSMT"/>
          <w:color w:val="000000"/>
          <w:sz w:val="23"/>
          <w:szCs w:val="23"/>
        </w:rPr>
        <w:t>Sebagai sebuah program, pendidikan merupakan aktivitas sadar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dan sengaja yang </w:t>
      </w:r>
      <w:r>
        <w:rPr>
          <w:rFonts w:ascii="TimesNewRomanPSMT" w:hAnsi="TimesNewRomanPSMT" w:cs="TimesNewRomanPSMT"/>
          <w:color w:val="000000"/>
          <w:sz w:val="23"/>
          <w:szCs w:val="23"/>
        </w:rPr>
        <w:t>diarahkan untuk mencapai suatu tujuan (Purwanto, 2009: 1).</w:t>
      </w:r>
    </w:p>
    <w:p w:rsidR="00A2063B" w:rsidRDefault="00A33EE6" w:rsidP="00A2063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Untuk menunjang keberhasilan pembangunan nasional yang didukung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dengan perkembangan ilmu pengetahuan dan teknologi peran biologi sangat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penting. Pengetahuan tentang mahluk hidup dimanfaatkan untuk memecahkan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masalah guna meningkatkan kesejahteraan hidup manusia, seperti masalah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pangan, sandang, papan, energi, lingkungan, kesehatan, bahkan sosial dapat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diatasi dengan biologi. Mengingat pentingnya peranan biologi, maka sangat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diharapkan peran seorang guru sebagai pendidik untuk menerapkan metode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pembelajaran yang tepat dan menarik, sehingga nantinya peserta didik memiliki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minat yang besar terhadap biologi. Karena pada kenyataannya di lapangan, bahwa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peserta didik cenderung mengalami kesulitan terhadap pelajaran Biologi. Dalam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pikiran mereka bahwa Biologi itu pelajaran yang sulit, yang berisi istilah-istilah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yang tidak mudah dimengerti dan dipahami.</w:t>
      </w:r>
    </w:p>
    <w:p w:rsidR="00A33EE6" w:rsidRPr="00A2063B" w:rsidRDefault="00A33EE6" w:rsidP="00A2063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Berdasarkan hasil observasi pada proses belajar mengajar tampak bahwa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keaktifan siswa belum optimal. Di kelas XI IPA 1 yang terlibat aktif dalam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pembelajaran hanya beberapa orang saja. Sebagian besar siswa kurang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memberikan respon terhadap pertanyaan yang disampaikan oleh guru. Hanya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siswa tertentu yang mau menjawab pertanyaan dan mengemukakan pendapat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akibat rendahnya minat dan motivasi belajar siswa. Pembelajaran yang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berlangsung di kelas masih berpusat pada guru sebagai sumber utama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pengetahuan. Pembelajaran aktif yang berpusat pada siswa sangat jarang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dilakukan. Metode pembelajaran yang dilakukan oleh guru terbatas pada ceramah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sehingga kurang bervariasi, dan mengakibatn siswa merasa bosan dengan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pelajaran biologi.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Salah satu upaya yang dapat dilakukan guru agar efektif dalam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pembelajaran adalah melalui pembelajaran berbasis inquiry terbimbing.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Pembelajaran dengan model ini menekankan pada aktivitas siswa secara maksimal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untuk mencari dan menemukan. Siswa dituntut lebih aktif dan guru bertindak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ab/>
      </w:r>
      <w:r>
        <w:rPr>
          <w:rFonts w:ascii="TimesNewRomanPSMT" w:hAnsi="TimesNewRomanPSMT" w:cs="TimesNewRomanPSMT"/>
          <w:color w:val="000000"/>
          <w:sz w:val="23"/>
          <w:szCs w:val="23"/>
        </w:rPr>
        <w:t>sebagai fasilitator dan motivator belajar siswa.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Berdasarkan uraian pada latar belakang dapat diangkat suatu permasalahan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sebagai berikut :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lastRenderedPageBreak/>
        <w:t>1. Apakah ada pengaruh inquiry terbimbing terhadap aktivitas belajar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siswa kelas XI IPA SMA Negeri 1 Sukamulia pada mata pelajaran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biologi tahun pelajaran 2014/2015.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2. Apakah ada pengaruh inquiry terbimbing terhadap hasil belajar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kognitif siswa kelas XI IPA SMA Negeri 1 Sukamulia pada mata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pelaj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aran biologi tahun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pelajaran 2014/2015.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ab/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3. Apakah ada pengaruh inquiry terbimbing terhadap aktivitas belajar dan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hasil belajar kognitif siswa kelas XI IPA SMA Negeri 1 Sukamulia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pada mata pelajaran biologi tahun pelajaran 2014/2015.</w:t>
      </w:r>
    </w:p>
    <w:p w:rsidR="00A2063B" w:rsidRDefault="00A33EE6" w:rsidP="00A2063B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METODE PENELITIAN</w:t>
      </w:r>
    </w:p>
    <w:p w:rsidR="00A33EE6" w:rsidRPr="00A2063B" w:rsidRDefault="00A33EE6" w:rsidP="00A2063B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Jenis penelitian yang digunakan pada penelitian ini adalah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quasi experimental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design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, dengan bentuk desain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 xml:space="preserve">posttest-only control design </w:t>
      </w:r>
      <w:r>
        <w:rPr>
          <w:rFonts w:ascii="TimesNewRomanPSMT" w:hAnsi="TimesNewRomanPSMT" w:cs="TimesNewRomanPSMT"/>
          <w:color w:val="000000"/>
          <w:sz w:val="23"/>
          <w:szCs w:val="23"/>
        </w:rPr>
        <w:t>(Sugiyono, 2009: 112).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Dalam desain ini terdapat dua kelompok yang dipilih secara random, kemudian</w:t>
      </w:r>
    </w:p>
    <w:p w:rsidR="00A33EE6" w:rsidRDefault="00A33EE6" w:rsidP="00A2063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diberi post test pada kelompok eksperimen dan kelompok kontrol. Dalam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penelitian ini </w:t>
      </w:r>
      <w:r>
        <w:rPr>
          <w:rFonts w:ascii="TimesNewRomanPSMT" w:hAnsi="TimesNewRomanPSMT" w:cs="TimesNewRomanPSMT"/>
          <w:color w:val="000000"/>
          <w:sz w:val="23"/>
          <w:szCs w:val="23"/>
        </w:rPr>
        <w:t>yang menjadi populasi adalah seluruh siswa kelas XI IPA SMA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Negeri 1 Sukamulia Tahun Pembelajaran 2014/2015. Yang terdiri dari 2 kelas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dengan jumlah 51 siswa. Adapun sampel penelitiannya di ambil dengan cara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pengundian karena sampel dalam penelitian ini merupakan sampel total.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Berdasarkan penarikan sampel tersebut, kelas XI IPA 1 sebagai kelas ekperimen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dan kelas XI IPA SMA 2 sebagai kelas kontrol.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Instrument adalah alat ukur yang digunakan untuk mengukur dalam rangka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pengumpulan data (Purwanto, 2009: 56). Di dalam penelitian ini, yang diteliti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adalah aktivitas belajar dan hasil belajar kognitif. Instrumen untuk mengukur hasil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belajar adalah tes yang diberikan kepada siswa berbentuk essay yang berjumlah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10 soal dan materi tentang sistem ekskresi. Sedangkan untuk aktivitas belajar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digunakan pedoman observasi yang berisi daftar jenis kegiatan yang mungkin</w:t>
      </w:r>
      <w:r w:rsidR="00A2063B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timbul dan akan diamati.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HASIL DAN PEMBAHASAN</w:t>
      </w:r>
    </w:p>
    <w:p w:rsidR="002F4D64" w:rsidRDefault="00A33EE6" w:rsidP="002F4D64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Dari hasil penelitian yang dilak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ukan, dimana uji normalitas yan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dilakukan dapat dilihat nilai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x</w:t>
      </w:r>
      <w:r>
        <w:rPr>
          <w:rFonts w:ascii="TimesNewRomanPS-ItalicMT" w:hAnsi="TimesNewRomanPS-ItalicMT" w:cs="TimesNewRomanPS-ItalicMT"/>
          <w:i/>
          <w:iCs/>
          <w:color w:val="000000"/>
          <w:sz w:val="15"/>
          <w:szCs w:val="15"/>
        </w:rPr>
        <w:t>2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15"/>
          <w:szCs w:val="15"/>
        </w:rPr>
        <w:t xml:space="preserve">hitung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untuk kelas eksperimen sebesar </w:t>
      </w:r>
      <w:r>
        <w:rPr>
          <w:rFonts w:ascii="TimesNewRomanPSMT" w:hAnsi="TimesNewRomanPSMT" w:cs="TimesNewRomanPSMT"/>
          <w:color w:val="000000"/>
          <w:sz w:val="21"/>
          <w:szCs w:val="21"/>
        </w:rPr>
        <w:t>1,2749</w:t>
      </w:r>
      <w:r>
        <w:rPr>
          <w:rFonts w:ascii="TimesNewRomanPSMT" w:hAnsi="TimesNewRomanPSMT" w:cs="TimesNewRomanPSMT"/>
          <w:color w:val="000000"/>
          <w:sz w:val="23"/>
          <w:szCs w:val="23"/>
        </w:rPr>
        <w:t>,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sedangkan kelas kontrol sebesar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11,287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dan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x</w:t>
      </w:r>
      <w:r>
        <w:rPr>
          <w:rFonts w:ascii="TimesNewRomanPS-ItalicMT" w:hAnsi="TimesNewRomanPS-ItalicMT" w:cs="TimesNewRomanPS-ItalicMT"/>
          <w:i/>
          <w:iCs/>
          <w:color w:val="000000"/>
          <w:sz w:val="15"/>
          <w:szCs w:val="15"/>
        </w:rPr>
        <w:t>2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tabel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sebesar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15,086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sehingga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x</w:t>
      </w:r>
      <w:r>
        <w:rPr>
          <w:rFonts w:ascii="TimesNewRomanPS-ItalicMT" w:hAnsi="TimesNewRomanPS-ItalicMT" w:cs="TimesNewRomanPS-ItalicMT"/>
          <w:i/>
          <w:iCs/>
          <w:color w:val="000000"/>
          <w:sz w:val="15"/>
          <w:szCs w:val="15"/>
        </w:rPr>
        <w:t>2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15"/>
          <w:szCs w:val="15"/>
        </w:rPr>
        <w:t>hitung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masing-masing kelompok lebih kecil dari nilai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x</w:t>
      </w:r>
      <w:r>
        <w:rPr>
          <w:rFonts w:ascii="TimesNewRomanPS-ItalicMT" w:hAnsi="TimesNewRomanPS-ItalicMT" w:cs="TimesNewRomanPS-ItalicMT"/>
          <w:i/>
          <w:iCs/>
          <w:color w:val="000000"/>
          <w:sz w:val="15"/>
          <w:szCs w:val="15"/>
        </w:rPr>
        <w:t>2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15"/>
          <w:szCs w:val="15"/>
        </w:rPr>
        <w:t>Tabel</w:t>
      </w:r>
      <w:r>
        <w:rPr>
          <w:rFonts w:ascii="TimesNewRomanPSMT" w:hAnsi="TimesNewRomanPSMT" w:cs="TimesNewRomanPSMT"/>
          <w:color w:val="000000"/>
          <w:sz w:val="23"/>
          <w:szCs w:val="23"/>
        </w:rPr>
        <w:t>, dengan demikian dapat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disimpulkan kedua kelompok berasal dari sampel yang berdistribusi normal.</w:t>
      </w:r>
    </w:p>
    <w:p w:rsidR="00A33EE6" w:rsidRDefault="00A33EE6" w:rsidP="002F4D64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Sedangkan uji homogenitas diperolah F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hitung </w:t>
      </w:r>
      <w:r>
        <w:rPr>
          <w:rFonts w:ascii="TimesNewRomanPSMT" w:hAnsi="TimesNewRomanPSMT" w:cs="TimesNewRomanPSMT"/>
          <w:color w:val="000000"/>
          <w:sz w:val="23"/>
          <w:szCs w:val="23"/>
        </w:rPr>
        <w:t>sebesar 2,15 sedangkan untuk harga F</w:t>
      </w:r>
    </w:p>
    <w:p w:rsidR="00A33EE6" w:rsidRDefault="00A33EE6" w:rsidP="002F4D6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tabel yaitu sebesar 2,62, sehingga dapat disimpulkan bahwa harga F hitung lebih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kecil dari F tabel (</w:t>
      </w:r>
      <w:r>
        <w:rPr>
          <w:rFonts w:ascii="TimesNewRomanPSMT" w:hAnsi="TimesNewRomanPSMT" w:cs="TimesNewRomanPSMT"/>
          <w:color w:val="000000"/>
          <w:sz w:val="21"/>
          <w:szCs w:val="21"/>
        </w:rPr>
        <w:t>2,15 &lt; 2,62</w:t>
      </w:r>
      <w:r>
        <w:rPr>
          <w:rFonts w:ascii="TimesNewRomanPSMT" w:hAnsi="TimesNewRomanPSMT" w:cs="TimesNewRomanPSMT"/>
          <w:color w:val="000000"/>
          <w:sz w:val="23"/>
          <w:szCs w:val="23"/>
        </w:rPr>
        <w:t>). Dengan demikian, varians homogen atau data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bersifat homogen. Untuk uji linearitas pada kelas eksperimen diperoleh harga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F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hitung </w:t>
      </w:r>
      <w:r>
        <w:rPr>
          <w:rFonts w:ascii="TimesNewRomanPSMT" w:hAnsi="TimesNewRomanPSMT" w:cs="TimesNewRomanPSMT"/>
          <w:color w:val="000000"/>
          <w:sz w:val="23"/>
          <w:szCs w:val="23"/>
        </w:rPr>
        <w:t>sebesar 0,53 dan F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tabel </w:t>
      </w:r>
      <w:r>
        <w:rPr>
          <w:rFonts w:ascii="TimesNewRomanPSMT" w:hAnsi="TimesNewRomanPSMT" w:cs="TimesNewRomanPSMT"/>
          <w:color w:val="000000"/>
          <w:sz w:val="23"/>
          <w:szCs w:val="23"/>
        </w:rPr>
        <w:lastRenderedPageBreak/>
        <w:t xml:space="preserve">sebesar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2,00 </w:t>
      </w:r>
      <w:r>
        <w:rPr>
          <w:rFonts w:ascii="TimesNewRomanPSMT" w:hAnsi="TimesNewRomanPSMT" w:cs="TimesNewRomanPSMT"/>
          <w:color w:val="000000"/>
          <w:sz w:val="23"/>
          <w:szCs w:val="23"/>
        </w:rPr>
        <w:t>sedangkan untuk kelas kontrol F</w:t>
      </w:r>
      <w:r>
        <w:rPr>
          <w:rFonts w:ascii="TimesNewRomanPSMT" w:hAnsi="TimesNewRomanPSMT" w:cs="TimesNewRomanPSMT"/>
          <w:color w:val="000000"/>
          <w:sz w:val="15"/>
          <w:szCs w:val="15"/>
        </w:rPr>
        <w:t>hitung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sebesar 0,71 dan F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tabel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sebesar 1,96. Karena </w:t>
      </w:r>
      <w:r>
        <w:rPr>
          <w:rFonts w:ascii="CambriaMath" w:hAnsi="CambriaMath" w:cs="CambriaMath"/>
          <w:color w:val="000000"/>
          <w:sz w:val="23"/>
          <w:szCs w:val="23"/>
        </w:rPr>
        <w:t>F</w:t>
      </w:r>
      <w:r>
        <w:rPr>
          <w:rFonts w:ascii="CambriaMath" w:hAnsi="CambriaMath" w:cs="CambriaMath"/>
          <w:color w:val="000000"/>
          <w:sz w:val="16"/>
          <w:szCs w:val="16"/>
        </w:rPr>
        <w:t xml:space="preserve">hitung </w:t>
      </w:r>
      <w:r>
        <w:rPr>
          <w:rFonts w:ascii="CambriaMath" w:hAnsi="CambriaMath" w:cs="CambriaMath"/>
          <w:color w:val="000000"/>
          <w:sz w:val="23"/>
          <w:szCs w:val="23"/>
        </w:rPr>
        <w:t>&gt; F</w:t>
      </w:r>
      <w:r>
        <w:rPr>
          <w:rFonts w:ascii="CambriaMath" w:hAnsi="CambriaMath" w:cs="CambriaMath"/>
          <w:color w:val="000000"/>
          <w:sz w:val="16"/>
          <w:szCs w:val="16"/>
        </w:rPr>
        <w:t xml:space="preserve">Tabel </w:t>
      </w:r>
      <w:r>
        <w:rPr>
          <w:rFonts w:ascii="TimesNewRomanPSMT" w:hAnsi="TimesNewRomanPSMT" w:cs="TimesNewRomanPSMT"/>
          <w:color w:val="000000"/>
          <w:sz w:val="23"/>
          <w:szCs w:val="23"/>
        </w:rPr>
        <w:t>untuk kedua kelas,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maka dapat disimpulkan bahwa kedua data tersebut berpola linear. Berdasarkan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perhitungan </w:t>
      </w:r>
      <w:r>
        <w:rPr>
          <w:rFonts w:ascii="TimesNewRomanPSMT" w:hAnsi="TimesNewRomanPSMT" w:cs="TimesNewRomanPSMT"/>
          <w:color w:val="000000"/>
          <w:sz w:val="23"/>
          <w:szCs w:val="23"/>
        </w:rPr>
        <w:t>hipotesis pertama didapatkan harga skor rata-rata aktivitas kelas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eksperimen &gt; kelas kontrol yaitu 3,04 &gt; 2.85 sehingga dapat disimpulkan bahwa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hipotesis </w:t>
      </w:r>
      <w:r>
        <w:rPr>
          <w:rFonts w:ascii="CambriaMath" w:hAnsi="CambriaMath" w:cs="CambriaMath"/>
          <w:color w:val="000000"/>
          <w:sz w:val="23"/>
          <w:szCs w:val="23"/>
        </w:rPr>
        <w:t>H</w:t>
      </w:r>
      <w:r>
        <w:rPr>
          <w:rFonts w:ascii="CambriaMath" w:hAnsi="CambriaMath" w:cs="CambriaMath"/>
          <w:color w:val="000000"/>
          <w:sz w:val="16"/>
          <w:szCs w:val="16"/>
        </w:rPr>
        <w:t xml:space="preserve">o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ditolak dan </w:t>
      </w:r>
      <w:r>
        <w:rPr>
          <w:rFonts w:ascii="CambriaMath" w:hAnsi="CambriaMath" w:cs="CambriaMath"/>
          <w:color w:val="000000"/>
          <w:sz w:val="23"/>
          <w:szCs w:val="23"/>
        </w:rPr>
        <w:t>H</w:t>
      </w:r>
      <w:r>
        <w:rPr>
          <w:rFonts w:ascii="CambriaMath" w:hAnsi="CambriaMath" w:cs="CambriaMath"/>
          <w:color w:val="000000"/>
          <w:sz w:val="16"/>
          <w:szCs w:val="16"/>
        </w:rPr>
        <w:t xml:space="preserve">a </w:t>
      </w:r>
      <w:r>
        <w:rPr>
          <w:rFonts w:ascii="TimesNewRomanPSMT" w:hAnsi="TimesNewRomanPSMT" w:cs="TimesNewRomanPSMT"/>
          <w:color w:val="000000"/>
          <w:sz w:val="23"/>
          <w:szCs w:val="23"/>
        </w:rPr>
        <w:t>diterima. Hal ini berarti bahwa ada pengaruh inquiry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terbimbing terhadap aktivitas belajar siswa kelas XI IPA SMA Negeri 1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Sukamulia pada mata pelajaran biologi tahun pelajaran 2014/2015. Untuk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hipotesis kedua diperoleh t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hitung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= </w:t>
      </w:r>
      <w:r>
        <w:rPr>
          <w:rFonts w:ascii="TimesNewRomanPSMT" w:hAnsi="TimesNewRomanPSMT" w:cs="TimesNewRomanPSMT"/>
          <w:color w:val="000000"/>
          <w:sz w:val="21"/>
          <w:szCs w:val="21"/>
        </w:rPr>
        <w:t>1,57</w:t>
      </w:r>
      <w:r>
        <w:rPr>
          <w:rFonts w:ascii="TimesNewRomanPSMT" w:hAnsi="TimesNewRomanPSMT" w:cs="TimesNewRomanPSMT"/>
          <w:color w:val="000000"/>
          <w:sz w:val="23"/>
          <w:szCs w:val="23"/>
        </w:rPr>
        <w:t>. Berdasarkan kriteria pengujian, harga ini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lebih besar dari </w:t>
      </w:r>
      <w:r>
        <w:rPr>
          <w:rFonts w:ascii="CambriaMath" w:hAnsi="CambriaMath" w:cs="CambriaMath"/>
          <w:color w:val="000000"/>
          <w:sz w:val="23"/>
          <w:szCs w:val="23"/>
        </w:rPr>
        <w:t>t</w:t>
      </w:r>
      <w:r>
        <w:rPr>
          <w:rFonts w:ascii="CambriaMath" w:hAnsi="CambriaMath" w:cs="CambriaMath"/>
          <w:color w:val="000000"/>
          <w:sz w:val="16"/>
          <w:szCs w:val="16"/>
        </w:rPr>
        <w:t xml:space="preserve">Tabel </w:t>
      </w:r>
      <w:r>
        <w:rPr>
          <w:rFonts w:ascii="TimesNewRomanPSMT" w:hAnsi="TimesNewRomanPSMT" w:cs="TimesNewRomanPSMT"/>
          <w:color w:val="000000"/>
          <w:sz w:val="23"/>
          <w:szCs w:val="23"/>
        </w:rPr>
        <w:t>(</w:t>
      </w:r>
      <w:r>
        <w:rPr>
          <w:rFonts w:ascii="CambriaMath" w:hAnsi="CambriaMath" w:cs="CambriaMath"/>
          <w:color w:val="000000"/>
          <w:sz w:val="23"/>
          <w:szCs w:val="23"/>
        </w:rPr>
        <w:t>t</w:t>
      </w:r>
      <w:r>
        <w:rPr>
          <w:rFonts w:ascii="CambriaMath" w:hAnsi="CambriaMath" w:cs="CambriaMath"/>
          <w:color w:val="000000"/>
          <w:sz w:val="16"/>
          <w:szCs w:val="16"/>
        </w:rPr>
        <w:t xml:space="preserve">hitung </w:t>
      </w:r>
      <w:r>
        <w:rPr>
          <w:rFonts w:ascii="CambriaMath" w:hAnsi="CambriaMath" w:cs="CambriaMath"/>
          <w:color w:val="000000"/>
          <w:sz w:val="23"/>
          <w:szCs w:val="23"/>
        </w:rPr>
        <w:t>&gt; t</w:t>
      </w:r>
      <w:r>
        <w:rPr>
          <w:rFonts w:ascii="CambriaMath" w:hAnsi="CambriaMath" w:cs="CambriaMath"/>
          <w:color w:val="000000"/>
          <w:sz w:val="16"/>
          <w:szCs w:val="16"/>
        </w:rPr>
        <w:t xml:space="preserve">Tabel </w:t>
      </w:r>
      <w:r>
        <w:rPr>
          <w:rFonts w:ascii="TimesNewRomanPSMT" w:hAnsi="TimesNewRomanPSMT" w:cs="TimesNewRomanPSMT"/>
          <w:color w:val="000000"/>
          <w:sz w:val="23"/>
          <w:szCs w:val="23"/>
        </w:rPr>
        <w:t>yakni (</w:t>
      </w:r>
      <w:r>
        <w:rPr>
          <w:rFonts w:ascii="TimesNewRomanPSMT" w:hAnsi="TimesNewRomanPSMT" w:cs="TimesNewRomanPSMT"/>
          <w:color w:val="000000"/>
          <w:sz w:val="21"/>
          <w:szCs w:val="21"/>
        </w:rPr>
        <w:t>1,57) &gt; t tabel (0,6801</w:t>
      </w:r>
      <w:r>
        <w:rPr>
          <w:rFonts w:ascii="TimesNewRomanPSMT" w:hAnsi="TimesNewRomanPSMT" w:cs="TimesNewRomanPSMT"/>
          <w:color w:val="000000"/>
          <w:sz w:val="23"/>
          <w:szCs w:val="23"/>
        </w:rPr>
        <w:t>) sehingga dapat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disimpulkan bahwa hipotesis </w:t>
      </w:r>
      <w:r>
        <w:rPr>
          <w:rFonts w:ascii="CambriaMath" w:hAnsi="CambriaMath" w:cs="CambriaMath"/>
          <w:color w:val="000000"/>
          <w:sz w:val="23"/>
          <w:szCs w:val="23"/>
        </w:rPr>
        <w:t>H</w:t>
      </w:r>
      <w:r>
        <w:rPr>
          <w:rFonts w:ascii="CambriaMath" w:hAnsi="CambriaMath" w:cs="CambriaMath"/>
          <w:color w:val="000000"/>
          <w:sz w:val="16"/>
          <w:szCs w:val="16"/>
        </w:rPr>
        <w:t xml:space="preserve">o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ditolak dan </w:t>
      </w:r>
      <w:r>
        <w:rPr>
          <w:rFonts w:ascii="CambriaMath" w:hAnsi="CambriaMath" w:cs="CambriaMath"/>
          <w:color w:val="000000"/>
          <w:sz w:val="23"/>
          <w:szCs w:val="23"/>
        </w:rPr>
        <w:t>H</w:t>
      </w:r>
      <w:r>
        <w:rPr>
          <w:rFonts w:ascii="CambriaMath" w:hAnsi="CambriaMath" w:cs="CambriaMath"/>
          <w:color w:val="000000"/>
          <w:sz w:val="16"/>
          <w:szCs w:val="16"/>
        </w:rPr>
        <w:t xml:space="preserve">a </w:t>
      </w:r>
      <w:r>
        <w:rPr>
          <w:rFonts w:ascii="TimesNewRomanPSMT" w:hAnsi="TimesNewRomanPSMT" w:cs="TimesNewRomanPSMT"/>
          <w:color w:val="000000"/>
          <w:sz w:val="23"/>
          <w:szCs w:val="23"/>
        </w:rPr>
        <w:t>diterima. Hal ini berarti bahwa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ada pengaruh inquiry terbimbing terhadap hasil belajar kognitif siswa kelas XI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IPA SMA Negeri 1 Sukamulia pada mata pelajaran biologi tahun pelajaran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2014/2015. Sedangkan untuk uji hipotesis ketiga diperoleh harga F</w:t>
      </w:r>
      <w:r>
        <w:rPr>
          <w:rFonts w:ascii="TimesNewRomanPSMT" w:hAnsi="TimesNewRomanPSMT" w:cs="TimesNewRomanPSMT"/>
          <w:color w:val="000000"/>
          <w:sz w:val="15"/>
          <w:szCs w:val="15"/>
        </w:rPr>
        <w:t xml:space="preserve">hitung </w:t>
      </w:r>
      <w:r>
        <w:rPr>
          <w:rFonts w:ascii="TimesNewRomanPSMT" w:hAnsi="TimesNewRomanPSMT" w:cs="TimesNewRomanPSMT"/>
          <w:color w:val="000000"/>
          <w:sz w:val="23"/>
          <w:szCs w:val="23"/>
        </w:rPr>
        <w:t>&gt; Ft</w:t>
      </w:r>
      <w:r>
        <w:rPr>
          <w:rFonts w:ascii="TimesNewRomanPSMT" w:hAnsi="TimesNewRomanPSMT" w:cs="TimesNewRomanPSMT"/>
          <w:color w:val="000000"/>
          <w:sz w:val="15"/>
          <w:szCs w:val="15"/>
        </w:rPr>
        <w:t>abel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yaitu 6,142 &gt; 3,09 sehingga dapat disimpulkan bahwa hipotesis </w:t>
      </w:r>
      <w:r>
        <w:rPr>
          <w:rFonts w:ascii="CambriaMath" w:hAnsi="CambriaMath" w:cs="CambriaMath"/>
          <w:color w:val="000000"/>
          <w:sz w:val="23"/>
          <w:szCs w:val="23"/>
        </w:rPr>
        <w:t>H</w:t>
      </w:r>
      <w:r>
        <w:rPr>
          <w:rFonts w:ascii="CambriaMath" w:hAnsi="CambriaMath" w:cs="CambriaMath"/>
          <w:color w:val="000000"/>
          <w:sz w:val="16"/>
          <w:szCs w:val="16"/>
        </w:rPr>
        <w:t xml:space="preserve">o </w:t>
      </w: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ditolak dan </w:t>
      </w:r>
      <w:r>
        <w:rPr>
          <w:rFonts w:ascii="CambriaMath" w:hAnsi="CambriaMath" w:cs="CambriaMath"/>
          <w:color w:val="000000"/>
          <w:sz w:val="23"/>
          <w:szCs w:val="23"/>
        </w:rPr>
        <w:t>H</w:t>
      </w:r>
      <w:r>
        <w:rPr>
          <w:rFonts w:ascii="CambriaMath" w:hAnsi="CambriaMath" w:cs="CambriaMath"/>
          <w:color w:val="000000"/>
          <w:sz w:val="16"/>
          <w:szCs w:val="16"/>
        </w:rPr>
        <w:t>a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diterima. Hal ini berarti bahwa ada pengaruh inquiry terbimbing terhadap aktivitas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belajar dan hasil belajar kognitif siswa kelas XI IPA SMA Negeri 1 Sukamulia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pada mata pelajaran biologi tahun pelajaran 2014/2015.</w:t>
      </w:r>
    </w:p>
    <w:p w:rsidR="00A33EE6" w:rsidRDefault="00A33EE6" w:rsidP="002F4D64">
      <w:pPr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Berdasarkan uraian diatas, aktivitas belajar yang tinggi juga berpengaruh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terhadap hasil belajar siswa, karena dengan siswa berperan aktif dalam proses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pembelajaran maka siswa akan lebih mengingat dan memahami pelajaran yang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sudah diajarkan tersebut. Aktivitas yang timbul dari siswa akan mengakibatkan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terbentuknya pengetahuan dan keterampilan yang akan mengarah pada hasil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belajar yang baik pula. Inquiry terbimbing akan menghadapkan siswa pada suatu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permasalahan dan tugas-tugas yang relevan untuk diselesaikan baik melalui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diskusi kelompok maupun individual, sehingga siswa mampu menyelesaikan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masalah dan menarik kesimpulan secara mandiri.</w:t>
      </w:r>
    </w:p>
    <w:p w:rsidR="00A33EE6" w:rsidRDefault="00A33EE6" w:rsidP="00A33EE6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KESIMPULAN</w:t>
      </w:r>
    </w:p>
    <w:p w:rsidR="00A33EE6" w:rsidRDefault="00A33EE6" w:rsidP="002F4D64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Berdasarkan hasil analisis data dan pembahasan yang telah diuraikan</w:t>
      </w:r>
    </w:p>
    <w:p w:rsidR="00A33EE6" w:rsidRDefault="00A33EE6" w:rsidP="002F4D64">
      <w:pPr>
        <w:autoSpaceDE w:val="0"/>
        <w:autoSpaceDN w:val="0"/>
        <w:adjustRightInd w:val="0"/>
        <w:spacing w:after="0" w:line="360" w:lineRule="auto"/>
        <w:ind w:firstLine="720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sebelumnya, maka dapat disimpulan bahwa:</w:t>
      </w:r>
    </w:p>
    <w:p w:rsidR="00A33EE6" w:rsidRDefault="00A33EE6" w:rsidP="002F4D64">
      <w:pPr>
        <w:autoSpaceDE w:val="0"/>
        <w:autoSpaceDN w:val="0"/>
        <w:adjustRightInd w:val="0"/>
        <w:spacing w:after="0" w:line="360" w:lineRule="auto"/>
        <w:ind w:left="1440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1. Inquiry terbimbing berpengaruh terhadap aktivitas belajar siswa kelas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XI IPA SMAN 1 Sukamulia pada mata pelajaran Biologi tahun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pelajaran 2014/2015.</w:t>
      </w:r>
    </w:p>
    <w:p w:rsidR="00A33EE6" w:rsidRDefault="00A33EE6" w:rsidP="002F4D64">
      <w:pPr>
        <w:autoSpaceDE w:val="0"/>
        <w:autoSpaceDN w:val="0"/>
        <w:adjustRightInd w:val="0"/>
        <w:spacing w:after="0" w:line="360" w:lineRule="auto"/>
        <w:ind w:left="1440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2. Inquiry terbimbing berpengaruh terhadap hasil belajar kognitif siswa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kelas XI IPA SMAN 1 Sukamulia pada mata pelajaran Biologi tahun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pelajaran 2014/2015</w:t>
      </w:r>
    </w:p>
    <w:p w:rsidR="00A33EE6" w:rsidRPr="002F4D64" w:rsidRDefault="00A33EE6" w:rsidP="002F4D64">
      <w:pPr>
        <w:autoSpaceDE w:val="0"/>
        <w:autoSpaceDN w:val="0"/>
        <w:adjustRightInd w:val="0"/>
        <w:spacing w:after="0" w:line="360" w:lineRule="auto"/>
        <w:ind w:left="1440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3. Inquiry terbimbing berpengaruh terhadap aktivitas belajar dan hasil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belajar </w:t>
      </w:r>
      <w:r>
        <w:rPr>
          <w:rFonts w:ascii="TimesNewRomanPSMT" w:hAnsi="TimesNewRomanPSMT" w:cs="TimesNewRomanPSMT"/>
          <w:color w:val="000000"/>
          <w:sz w:val="23"/>
          <w:szCs w:val="23"/>
        </w:rPr>
        <w:t>kognitif siswa kelas XI IPA SMAN 1 Sukamulia pada mata</w:t>
      </w:r>
      <w:r w:rsidR="002F4D64">
        <w:rPr>
          <w:rFonts w:ascii="TimesNewRomanPSMT" w:hAnsi="TimesNewRomanPSMT" w:cs="TimesNewRomanPSMT"/>
          <w:color w:val="000000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color w:val="000000"/>
          <w:sz w:val="23"/>
          <w:szCs w:val="23"/>
        </w:rPr>
        <w:t>pelajaran Biologi tahun pelajaran 2014/201</w:t>
      </w: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5.</w:t>
      </w:r>
    </w:p>
    <w:p w:rsidR="002F4D64" w:rsidRDefault="002F4D64" w:rsidP="002F4D64">
      <w:pPr>
        <w:tabs>
          <w:tab w:val="left" w:pos="2865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2F4D64" w:rsidRDefault="002F4D64" w:rsidP="002F4D64">
      <w:pPr>
        <w:tabs>
          <w:tab w:val="left" w:pos="2865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2F4D64" w:rsidRDefault="002F4D64" w:rsidP="002F4D64">
      <w:pPr>
        <w:tabs>
          <w:tab w:val="left" w:pos="2865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</w:p>
    <w:p w:rsidR="00A33EE6" w:rsidRDefault="002F4D64" w:rsidP="002F4D64">
      <w:pPr>
        <w:tabs>
          <w:tab w:val="left" w:pos="2865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ab/>
      </w:r>
    </w:p>
    <w:p w:rsidR="00A33EE6" w:rsidRDefault="00A33EE6" w:rsidP="002F4D6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  <w:t>DAFTAR PUSTAKA</w:t>
      </w:r>
    </w:p>
    <w:p w:rsidR="002F4D64" w:rsidRDefault="002F4D64" w:rsidP="002F4D6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3"/>
          <w:szCs w:val="23"/>
        </w:rPr>
      </w:pPr>
    </w:p>
    <w:p w:rsidR="00A33EE6" w:rsidRDefault="00A33EE6" w:rsidP="002F4D6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NewRomanPSMT" w:hAnsi="TimesNewRomanPSMT" w:cs="TimesNewRomanPS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>Purwanto.2009.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Evaluasi Hasil Belajar.</w:t>
      </w:r>
      <w:r>
        <w:rPr>
          <w:rFonts w:ascii="TimesNewRomanPSMT" w:hAnsi="TimesNewRomanPSMT" w:cs="TimesNewRomanPSMT"/>
          <w:color w:val="000000"/>
          <w:sz w:val="23"/>
          <w:szCs w:val="23"/>
        </w:rPr>
        <w:t>Yogyakarta:Pustaka Belajar</w:t>
      </w:r>
    </w:p>
    <w:p w:rsidR="00A33EE6" w:rsidRDefault="00A33EE6" w:rsidP="002F4D6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Sugiyono. 2009. </w:t>
      </w: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>Metode Penelitian Pendidikan Pendekatan Kualitatif, Kuantitatif</w:t>
      </w:r>
    </w:p>
    <w:p w:rsidR="00193504" w:rsidRDefault="00A33EE6" w:rsidP="002F4D64">
      <w:pPr>
        <w:spacing w:line="360" w:lineRule="auto"/>
        <w:ind w:left="720"/>
        <w:jc w:val="both"/>
      </w:pPr>
      <w:r>
        <w:rPr>
          <w:rFonts w:ascii="TimesNewRomanPS-ItalicMT" w:hAnsi="TimesNewRomanPS-ItalicMT" w:cs="TimesNewRomanPS-ItalicMT"/>
          <w:i/>
          <w:iCs/>
          <w:color w:val="000000"/>
          <w:sz w:val="23"/>
          <w:szCs w:val="23"/>
        </w:rPr>
        <w:t xml:space="preserve">dan R&amp;D. </w:t>
      </w:r>
      <w:r>
        <w:rPr>
          <w:rFonts w:ascii="TimesNewRomanPSMT" w:hAnsi="TimesNewRomanPSMT" w:cs="TimesNewRomanPSMT"/>
          <w:color w:val="000000"/>
          <w:sz w:val="23"/>
          <w:szCs w:val="23"/>
        </w:rPr>
        <w:t>Bandung: Alfabeta.</w:t>
      </w:r>
    </w:p>
    <w:sectPr w:rsidR="00193504" w:rsidSect="00193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Math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3EE6"/>
    <w:rsid w:val="00193504"/>
    <w:rsid w:val="001F623B"/>
    <w:rsid w:val="002F4D64"/>
    <w:rsid w:val="00A2063B"/>
    <w:rsid w:val="00A33EE6"/>
    <w:rsid w:val="00B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216CDB-B9B5-49A2-99BA-76F9043C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ART COMP</cp:lastModifiedBy>
  <cp:revision>2</cp:revision>
  <dcterms:created xsi:type="dcterms:W3CDTF">2016-03-29T14:22:00Z</dcterms:created>
  <dcterms:modified xsi:type="dcterms:W3CDTF">2020-12-08T10:33:00Z</dcterms:modified>
</cp:coreProperties>
</file>